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5B" w:rsidRDefault="00710D5B" w:rsidP="00710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10D5B" w:rsidRPr="00502AA7" w:rsidRDefault="00502AA7" w:rsidP="00502AA7">
      <w:pPr>
        <w:jc w:val="center"/>
        <w:rPr>
          <w:rFonts w:ascii="Arial" w:hAnsi="Arial" w:cs="Arial"/>
          <w:b/>
          <w:sz w:val="24"/>
          <w:szCs w:val="24"/>
        </w:rPr>
      </w:pPr>
      <w:r w:rsidRPr="00502AA7">
        <w:rPr>
          <w:rFonts w:ascii="Arial" w:hAnsi="Arial" w:cs="Arial"/>
          <w:b/>
          <w:sz w:val="24"/>
          <w:szCs w:val="24"/>
        </w:rPr>
        <w:t xml:space="preserve">Harvington Neighbourhood Plan – Housing Sub-Group </w:t>
      </w:r>
      <w:r>
        <w:rPr>
          <w:rFonts w:ascii="Arial" w:hAnsi="Arial" w:cs="Arial"/>
          <w:b/>
          <w:sz w:val="24"/>
          <w:szCs w:val="24"/>
        </w:rPr>
        <w:t xml:space="preserve">Initial </w:t>
      </w:r>
      <w:r w:rsidRPr="00502AA7">
        <w:rPr>
          <w:rFonts w:ascii="Arial" w:hAnsi="Arial" w:cs="Arial"/>
          <w:b/>
          <w:sz w:val="24"/>
          <w:szCs w:val="24"/>
        </w:rPr>
        <w:t>Action Plan</w:t>
      </w:r>
    </w:p>
    <w:p w:rsidR="00710D5B" w:rsidRDefault="00710D5B" w:rsidP="00710D5B">
      <w:pPr>
        <w:rPr>
          <w:rFonts w:ascii="ArialMT" w:hAnsi="ArialMT" w:cs="ArialMT"/>
          <w:sz w:val="24"/>
          <w:szCs w:val="24"/>
        </w:rPr>
      </w:pPr>
    </w:p>
    <w:p w:rsidR="00502AA7" w:rsidRPr="00E15F33" w:rsidRDefault="00502AA7" w:rsidP="00710D5B">
      <w:pPr>
        <w:rPr>
          <w:rFonts w:ascii="Arial" w:hAnsi="Arial" w:cs="Arial"/>
          <w:b/>
        </w:rPr>
      </w:pPr>
      <w:r w:rsidRPr="00E15F33">
        <w:rPr>
          <w:rFonts w:ascii="Arial" w:hAnsi="Arial" w:cs="Arial"/>
          <w:b/>
        </w:rPr>
        <w:t xml:space="preserve">Approach </w:t>
      </w:r>
    </w:p>
    <w:p w:rsidR="00710D5B" w:rsidRPr="00E15F33" w:rsidRDefault="00502AA7" w:rsidP="00710D5B">
      <w:pPr>
        <w:rPr>
          <w:rFonts w:ascii="Arial" w:hAnsi="Arial" w:cs="Arial"/>
        </w:rPr>
      </w:pPr>
      <w:r w:rsidRPr="00E15F33">
        <w:rPr>
          <w:rFonts w:ascii="Arial" w:hAnsi="Arial" w:cs="Arial"/>
        </w:rPr>
        <w:t>This briefing note outlines the intended approach to getting the Housing element of the Neighbourhood Plan underway. At the group meeting of 29.04.15 it was recognised that there is a wealth of information available to the group from the outputs of the 2010 Parish Plan and Village Design Statement and - whilst it is recognised that the Neighbou</w:t>
      </w:r>
      <w:r w:rsidR="00506A52" w:rsidRPr="00E15F33">
        <w:rPr>
          <w:rFonts w:ascii="Arial" w:hAnsi="Arial" w:cs="Arial"/>
        </w:rPr>
        <w:t xml:space="preserve">rhood Plan will be a different </w:t>
      </w:r>
      <w:r w:rsidRPr="00E15F33">
        <w:rPr>
          <w:rFonts w:ascii="Arial" w:hAnsi="Arial" w:cs="Arial"/>
        </w:rPr>
        <w:t>animal - it seems sensible to use the Parish plan materia</w:t>
      </w:r>
      <w:r w:rsidR="00506A52" w:rsidRPr="00E15F33">
        <w:rPr>
          <w:rFonts w:ascii="Arial" w:hAnsi="Arial" w:cs="Arial"/>
        </w:rPr>
        <w:t xml:space="preserve">l as a </w:t>
      </w:r>
      <w:r w:rsidRPr="00E15F33">
        <w:rPr>
          <w:rFonts w:ascii="Arial" w:hAnsi="Arial" w:cs="Arial"/>
        </w:rPr>
        <w:t>launch pad.</w:t>
      </w:r>
    </w:p>
    <w:p w:rsidR="00502AA7" w:rsidRPr="00E15F33" w:rsidRDefault="00502AA7" w:rsidP="00710D5B">
      <w:pPr>
        <w:rPr>
          <w:rFonts w:ascii="Arial" w:hAnsi="Arial" w:cs="Arial"/>
        </w:rPr>
      </w:pPr>
      <w:r w:rsidRPr="00E15F33">
        <w:rPr>
          <w:rFonts w:ascii="Arial" w:hAnsi="Arial" w:cs="Arial"/>
        </w:rPr>
        <w:t xml:space="preserve">The first step is to review the Action Plan from the 2010 Parish Plan to </w:t>
      </w:r>
      <w:r w:rsidR="00506A52" w:rsidRPr="00E15F33">
        <w:rPr>
          <w:rFonts w:ascii="Arial" w:hAnsi="Arial" w:cs="Arial"/>
        </w:rPr>
        <w:t xml:space="preserve">determine which of the key Action points ought to be embraced by the Housing Group, </w:t>
      </w:r>
      <w:r w:rsidRPr="00E15F33">
        <w:rPr>
          <w:rFonts w:ascii="Arial" w:hAnsi="Arial" w:cs="Arial"/>
        </w:rPr>
        <w:t xml:space="preserve">assess the current status of </w:t>
      </w:r>
      <w:r w:rsidR="00506A52" w:rsidRPr="00E15F33">
        <w:rPr>
          <w:rFonts w:ascii="Arial" w:hAnsi="Arial" w:cs="Arial"/>
        </w:rPr>
        <w:t>each one and</w:t>
      </w:r>
      <w:r w:rsidRPr="00E15F33">
        <w:rPr>
          <w:rFonts w:ascii="Arial" w:hAnsi="Arial" w:cs="Arial"/>
        </w:rPr>
        <w:t xml:space="preserve"> ask ourselves if this still remains a pri</w:t>
      </w:r>
      <w:r w:rsidR="00506A52" w:rsidRPr="00E15F33">
        <w:rPr>
          <w:rFonts w:ascii="Arial" w:hAnsi="Arial" w:cs="Arial"/>
        </w:rPr>
        <w:t xml:space="preserve">ority 5 years on, and then to identify further potential priorities for consideration by the community for inclusion in a Neighbourhood Plan. </w:t>
      </w:r>
    </w:p>
    <w:p w:rsidR="00506A52" w:rsidRPr="00E15F33" w:rsidRDefault="00506A52" w:rsidP="00710D5B">
      <w:pPr>
        <w:rPr>
          <w:rFonts w:ascii="Arial" w:hAnsi="Arial" w:cs="Arial"/>
          <w:b/>
        </w:rPr>
      </w:pPr>
      <w:r w:rsidRPr="00E15F33">
        <w:rPr>
          <w:rFonts w:ascii="Arial" w:hAnsi="Arial" w:cs="Arial"/>
          <w:b/>
        </w:rPr>
        <w:t>Rationale</w:t>
      </w:r>
    </w:p>
    <w:p w:rsidR="00506A52" w:rsidRPr="00E15F33" w:rsidRDefault="00506A52" w:rsidP="00710D5B">
      <w:pPr>
        <w:rPr>
          <w:rFonts w:ascii="Arial" w:hAnsi="Arial" w:cs="Arial"/>
        </w:rPr>
      </w:pPr>
      <w:r w:rsidRPr="00E15F33">
        <w:rPr>
          <w:rFonts w:ascii="Arial" w:hAnsi="Arial" w:cs="Arial"/>
        </w:rPr>
        <w:t>The rational</w:t>
      </w:r>
      <w:r w:rsidR="00C67999">
        <w:rPr>
          <w:rFonts w:ascii="Arial" w:hAnsi="Arial" w:cs="Arial"/>
        </w:rPr>
        <w:t>e</w:t>
      </w:r>
      <w:r w:rsidRPr="00E15F33">
        <w:rPr>
          <w:rFonts w:ascii="Arial" w:hAnsi="Arial" w:cs="Arial"/>
        </w:rPr>
        <w:t xml:space="preserve"> for adopting this approach might be summarised as follows:</w:t>
      </w:r>
    </w:p>
    <w:p w:rsidR="00506A52" w:rsidRPr="00E15F33" w:rsidRDefault="00506A52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F33">
        <w:rPr>
          <w:rFonts w:ascii="Arial" w:hAnsi="Arial" w:cs="Arial"/>
        </w:rPr>
        <w:t>It draws on a large body of empirical evidence and so is a robust foundation</w:t>
      </w:r>
    </w:p>
    <w:p w:rsidR="00506A52" w:rsidRPr="00E15F33" w:rsidRDefault="00506A52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F33">
        <w:rPr>
          <w:rFonts w:ascii="Arial" w:hAnsi="Arial" w:cs="Arial"/>
        </w:rPr>
        <w:t>It has been subject to widespread consultation and so has community endorsement</w:t>
      </w:r>
    </w:p>
    <w:p w:rsidR="00506A52" w:rsidRPr="00E15F33" w:rsidRDefault="00506A52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F33">
        <w:rPr>
          <w:rFonts w:ascii="Arial" w:hAnsi="Arial" w:cs="Arial"/>
        </w:rPr>
        <w:t>It means we can get cracking quickly</w:t>
      </w:r>
    </w:p>
    <w:p w:rsidR="00506A52" w:rsidRPr="00E15F33" w:rsidRDefault="00506A52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F33">
        <w:rPr>
          <w:rFonts w:ascii="Arial" w:hAnsi="Arial" w:cs="Arial"/>
        </w:rPr>
        <w:t>It saves re-inventing the wheel</w:t>
      </w:r>
    </w:p>
    <w:p w:rsidR="00506A52" w:rsidRDefault="00506A52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F33">
        <w:rPr>
          <w:rFonts w:ascii="Arial" w:hAnsi="Arial" w:cs="Arial"/>
        </w:rPr>
        <w:t>It spares the community unnecessary ‘survey fatigue’</w:t>
      </w:r>
    </w:p>
    <w:p w:rsidR="00583029" w:rsidRPr="00E15F33" w:rsidRDefault="00583029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 evidences a link with what has gone before</w:t>
      </w:r>
    </w:p>
    <w:p w:rsidR="00506A52" w:rsidRPr="00E15F33" w:rsidRDefault="0005144C" w:rsidP="00506A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F33">
        <w:rPr>
          <w:rFonts w:ascii="Arial" w:hAnsi="Arial" w:cs="Arial"/>
        </w:rPr>
        <w:t>It meets the Wychavon DC</w:t>
      </w:r>
      <w:r w:rsidR="00506A52" w:rsidRPr="00E15F33">
        <w:rPr>
          <w:rFonts w:ascii="Arial" w:hAnsi="Arial" w:cs="Arial"/>
        </w:rPr>
        <w:t xml:space="preserve"> Neighbourhood Planning </w:t>
      </w:r>
      <w:r w:rsidRPr="00E15F33">
        <w:rPr>
          <w:rFonts w:ascii="Arial" w:hAnsi="Arial" w:cs="Arial"/>
        </w:rPr>
        <w:t>guidance in ‘Identifying the Issues’ and ‘Developing a Vision &amp; Objectives’ which will be critical when the plan comes to the Independent Examination and Adoption stages</w:t>
      </w:r>
    </w:p>
    <w:p w:rsidR="0005144C" w:rsidRPr="00E15F33" w:rsidRDefault="0005144C" w:rsidP="0005144C">
      <w:pPr>
        <w:pStyle w:val="ListParagraph"/>
        <w:rPr>
          <w:rFonts w:ascii="Arial" w:hAnsi="Arial" w:cs="Arial"/>
        </w:rPr>
      </w:pPr>
    </w:p>
    <w:p w:rsidR="0005144C" w:rsidRPr="00E15F33" w:rsidRDefault="0005144C" w:rsidP="0005144C">
      <w:pPr>
        <w:pStyle w:val="ListParagraph"/>
        <w:rPr>
          <w:rFonts w:ascii="Arial" w:hAnsi="Arial" w:cs="Arial"/>
        </w:rPr>
      </w:pPr>
    </w:p>
    <w:p w:rsidR="0005144C" w:rsidRPr="00E15F33" w:rsidRDefault="0005144C" w:rsidP="0005144C">
      <w:pPr>
        <w:pStyle w:val="ListParagraph"/>
        <w:rPr>
          <w:rFonts w:ascii="Arial" w:hAnsi="Arial" w:cs="Arial"/>
        </w:rPr>
      </w:pPr>
    </w:p>
    <w:p w:rsidR="0005144C" w:rsidRPr="00E15F33" w:rsidRDefault="0005144C" w:rsidP="0005144C">
      <w:pPr>
        <w:pStyle w:val="ListParagraph"/>
        <w:rPr>
          <w:rFonts w:ascii="Arial" w:hAnsi="Arial" w:cs="Arial"/>
        </w:rPr>
      </w:pPr>
    </w:p>
    <w:p w:rsidR="00583029" w:rsidRDefault="00583029" w:rsidP="0005144C">
      <w:pPr>
        <w:pStyle w:val="ListParagraph"/>
        <w:ind w:hanging="720"/>
        <w:rPr>
          <w:rFonts w:ascii="Arial" w:hAnsi="Arial" w:cs="Arial"/>
          <w:b/>
        </w:rPr>
      </w:pPr>
    </w:p>
    <w:p w:rsidR="0005144C" w:rsidRPr="00E15F33" w:rsidRDefault="0005144C" w:rsidP="0005144C">
      <w:pPr>
        <w:pStyle w:val="ListParagraph"/>
        <w:ind w:hanging="720"/>
        <w:rPr>
          <w:rFonts w:ascii="Arial" w:hAnsi="Arial" w:cs="Arial"/>
          <w:b/>
        </w:rPr>
      </w:pPr>
      <w:r w:rsidRPr="00E15F33">
        <w:rPr>
          <w:rFonts w:ascii="Arial" w:hAnsi="Arial" w:cs="Arial"/>
          <w:b/>
        </w:rPr>
        <w:lastRenderedPageBreak/>
        <w:t>Initial Actions</w:t>
      </w:r>
    </w:p>
    <w:p w:rsidR="0005144C" w:rsidRPr="00E15F33" w:rsidRDefault="0005144C" w:rsidP="0005144C">
      <w:pPr>
        <w:pStyle w:val="ListParagraph"/>
        <w:ind w:hanging="720"/>
        <w:rPr>
          <w:rFonts w:ascii="Arial" w:hAnsi="Arial" w:cs="Arial"/>
          <w:b/>
        </w:rPr>
      </w:pPr>
    </w:p>
    <w:p w:rsidR="0005144C" w:rsidRPr="00E15F33" w:rsidRDefault="0005144C" w:rsidP="0005144C">
      <w:pPr>
        <w:pStyle w:val="ListParagraph"/>
        <w:ind w:hanging="720"/>
        <w:rPr>
          <w:rFonts w:ascii="Arial" w:hAnsi="Arial" w:cs="Arial"/>
        </w:rPr>
      </w:pPr>
      <w:r w:rsidRPr="00E15F33">
        <w:rPr>
          <w:rFonts w:ascii="Arial" w:hAnsi="Arial" w:cs="Arial"/>
        </w:rPr>
        <w:t>The 2010 Actions table has been refreshed below and the Housing Group will now start work on populating the two right hand columns:</w:t>
      </w:r>
    </w:p>
    <w:tbl>
      <w:tblPr>
        <w:tblStyle w:val="TableGrid"/>
        <w:tblW w:w="14274" w:type="dxa"/>
        <w:tblInd w:w="-318" w:type="dxa"/>
        <w:tblLook w:val="04A0"/>
      </w:tblPr>
      <w:tblGrid>
        <w:gridCol w:w="817"/>
        <w:gridCol w:w="2126"/>
        <w:gridCol w:w="5103"/>
        <w:gridCol w:w="1559"/>
        <w:gridCol w:w="2250"/>
        <w:gridCol w:w="2419"/>
      </w:tblGrid>
      <w:tr w:rsidR="00A65C69" w:rsidRPr="00E15F33" w:rsidTr="008B0E5D">
        <w:tc>
          <w:tcPr>
            <w:tcW w:w="14274" w:type="dxa"/>
            <w:gridSpan w:val="6"/>
            <w:shd w:val="clear" w:color="auto" w:fill="BFBFBF" w:themeFill="background1" w:themeFillShade="BF"/>
          </w:tcPr>
          <w:p w:rsidR="00A65C69" w:rsidRPr="00E15F33" w:rsidRDefault="00A65C69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Parish Plan 2010 – Summary of Key Actions</w:t>
            </w:r>
          </w:p>
        </w:tc>
      </w:tr>
      <w:tr w:rsidR="00B30C48" w:rsidRPr="00E15F33" w:rsidTr="008B0E5D">
        <w:tc>
          <w:tcPr>
            <w:tcW w:w="817" w:type="dxa"/>
            <w:shd w:val="clear" w:color="auto" w:fill="BFBFBF" w:themeFill="background1" w:themeFillShade="BF"/>
          </w:tcPr>
          <w:p w:rsidR="00B30C48" w:rsidRPr="00E15F33" w:rsidRDefault="00B30C48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B30C48" w:rsidRPr="00E15F33" w:rsidRDefault="00B30C48" w:rsidP="008D1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1" w:type="dxa"/>
            <w:gridSpan w:val="4"/>
            <w:shd w:val="clear" w:color="auto" w:fill="auto"/>
          </w:tcPr>
          <w:p w:rsidR="00B30C48" w:rsidRPr="00E15F33" w:rsidRDefault="00B30C48" w:rsidP="00B30C48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Housing Group would expect to lead on this</w:t>
            </w:r>
          </w:p>
        </w:tc>
      </w:tr>
      <w:tr w:rsidR="00B30C48" w:rsidRPr="00E15F33" w:rsidTr="008B0E5D">
        <w:tc>
          <w:tcPr>
            <w:tcW w:w="817" w:type="dxa"/>
            <w:shd w:val="clear" w:color="auto" w:fill="BFBFBF" w:themeFill="background1" w:themeFillShade="BF"/>
          </w:tcPr>
          <w:p w:rsidR="00B30C48" w:rsidRPr="00E15F33" w:rsidRDefault="00B30C48" w:rsidP="008D1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30C48" w:rsidRPr="00E15F33" w:rsidRDefault="00B30C48" w:rsidP="008D1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1" w:type="dxa"/>
            <w:gridSpan w:val="4"/>
            <w:shd w:val="clear" w:color="auto" w:fill="auto"/>
          </w:tcPr>
          <w:p w:rsidR="00B30C48" w:rsidRPr="00E15F33" w:rsidRDefault="00B30C48" w:rsidP="00B30C48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Housing Group will need to contribute to this work</w:t>
            </w:r>
          </w:p>
        </w:tc>
      </w:tr>
      <w:tr w:rsidR="00E53FA1" w:rsidRPr="00E15F33" w:rsidTr="008B0E5D">
        <w:tc>
          <w:tcPr>
            <w:tcW w:w="817" w:type="dxa"/>
            <w:shd w:val="clear" w:color="auto" w:fill="BFBFBF" w:themeFill="background1" w:themeFillShade="BF"/>
          </w:tcPr>
          <w:p w:rsidR="00710D5B" w:rsidRPr="00E15F33" w:rsidRDefault="00710D5B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10D5B" w:rsidRPr="00E15F33" w:rsidRDefault="00710D5B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Problem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710D5B" w:rsidRPr="00E15F33" w:rsidRDefault="00710D5B" w:rsidP="008B0E5D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10D5B" w:rsidRPr="00E15F33" w:rsidRDefault="00710D5B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Priority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710D5B" w:rsidRPr="00E15F33" w:rsidRDefault="00710D5B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710D5B" w:rsidRPr="00E15F33" w:rsidRDefault="00710D5B" w:rsidP="008D174F">
            <w:pPr>
              <w:jc w:val="center"/>
              <w:rPr>
                <w:rFonts w:ascii="Arial" w:hAnsi="Arial" w:cs="Arial"/>
                <w:b/>
              </w:rPr>
            </w:pPr>
            <w:r w:rsidRPr="00E15F33">
              <w:rPr>
                <w:rFonts w:ascii="Arial" w:hAnsi="Arial" w:cs="Arial"/>
                <w:b/>
              </w:rPr>
              <w:t>Is this still a priority?</w:t>
            </w:r>
          </w:p>
        </w:tc>
      </w:tr>
      <w:tr w:rsidR="00E53FA1" w:rsidRPr="00E15F33" w:rsidTr="008B0E5D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 xml:space="preserve">AP 01 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Open Space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Encouraging further use of existing and new open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spaces in the village by keeping them clean and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free from litter or supporting the volunteers who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do the work.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Ongoing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bottom w:val="single" w:sz="4" w:space="0" w:color="000000" w:themeColor="text1"/>
            </w:tcBorders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F2DBDB" w:themeFill="accent2" w:themeFillTint="33"/>
          </w:tcPr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 02</w:t>
            </w:r>
          </w:p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needs of the</w:t>
            </w:r>
          </w:p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residents should be</w:t>
            </w:r>
          </w:p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reflected in future</w:t>
            </w:r>
          </w:p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housing developments.</w:t>
            </w:r>
          </w:p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10D5B" w:rsidRPr="00E15F33" w:rsidRDefault="00710D5B" w:rsidP="008D1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Parish Council will ensure that the Village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Design Statement is comprehensive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10D5B" w:rsidRPr="00E15F33" w:rsidRDefault="00710D5B" w:rsidP="00710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F2DBDB" w:themeFill="accent2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F2DBDB" w:themeFill="accent2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AP03</w:t>
            </w:r>
          </w:p>
        </w:tc>
        <w:tc>
          <w:tcPr>
            <w:tcW w:w="2126" w:type="dxa"/>
          </w:tcPr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strongest support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was for trails, walking and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fishing.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Facilities already exist for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fishing, but walking trails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are poor and could be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developed.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10D5B" w:rsidRPr="00E15F33" w:rsidRDefault="00E53FA1" w:rsidP="00B30C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In collaboration with Worcestershire County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Council, the Parish Council will actively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promote/encourage the construction of a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footbridge across the River Avon and the end of</w:t>
            </w:r>
            <w:r w:rsidR="00B30C48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Anchor Lane thus connecting with walks on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opposite side of the River Avon. Open a footpath</w:t>
            </w:r>
            <w:r w:rsidR="00B30C48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between Evesham Country Park and Harvington.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Operate a passenger boat on the river between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Harvington and Evesham Country Park.</w:t>
            </w:r>
          </w:p>
        </w:tc>
        <w:tc>
          <w:tcPr>
            <w:tcW w:w="1559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Long term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rPr>
          <w:trHeight w:val="720"/>
        </w:trPr>
        <w:tc>
          <w:tcPr>
            <w:tcW w:w="817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lastRenderedPageBreak/>
              <w:t>AP03</w:t>
            </w:r>
          </w:p>
        </w:tc>
        <w:tc>
          <w:tcPr>
            <w:tcW w:w="2126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Provide Village Maps at strategic points in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village showing public footpaths and village</w:t>
            </w:r>
            <w:r w:rsidR="00B30C48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amenities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Medium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AP03</w:t>
            </w:r>
          </w:p>
        </w:tc>
        <w:tc>
          <w:tcPr>
            <w:tcW w:w="2126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Harvington Trust is actively investigating a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project for the north west of the village which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would provide footpaths, an orchard and wetlands.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DAEEF3" w:themeFill="accent5" w:themeFillTint="33"/>
          </w:tcPr>
          <w:p w:rsidR="00710D5B" w:rsidRPr="00E15F33" w:rsidRDefault="00E53FA1" w:rsidP="00E53FA1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 xml:space="preserve">AP04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Road safety Concerns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Parish Council will review the safety concerns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of the residents and will inform the residents</w:t>
            </w:r>
            <w:r w:rsidR="00B30C48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about the options that can be undertaken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Medium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AP04</w:t>
            </w:r>
          </w:p>
        </w:tc>
        <w:tc>
          <w:tcPr>
            <w:tcW w:w="2126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Highway Authority should be requested to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monitor and enforce the new 30 mph speed limit</w:t>
            </w:r>
          </w:p>
          <w:p w:rsidR="00E53FA1" w:rsidRPr="00E15F33" w:rsidRDefault="00E53FA1" w:rsidP="00E53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on the Alcester/Evesham Road.New village entrance signs should be provided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DAEEF3" w:themeFill="accent5" w:themeFillTint="33"/>
          </w:tcPr>
          <w:p w:rsidR="00710D5B" w:rsidRPr="00E15F33" w:rsidRDefault="00E53FA1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AP05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32410C" w:rsidRPr="00E15F33" w:rsidRDefault="0032410C" w:rsidP="00324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Parish Council street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lamps are very old and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some residents want</w:t>
            </w:r>
          </w:p>
          <w:p w:rsidR="0032410C" w:rsidRPr="00E15F33" w:rsidRDefault="0032410C" w:rsidP="00324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improved street lighting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:rsidR="0032410C" w:rsidRPr="00E15F33" w:rsidRDefault="0032410C" w:rsidP="00324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Parish Council is at present reviewing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situation in order to improve the lighting and make</w:t>
            </w:r>
          </w:p>
          <w:p w:rsidR="0032410C" w:rsidRPr="00E15F33" w:rsidRDefault="0032410C" w:rsidP="00324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it more efficient. Thereby cutting the cost of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consumption of energy and maintena</w:t>
            </w:r>
            <w:r w:rsidR="008C4D69" w:rsidRPr="00E15F33">
              <w:rPr>
                <w:rFonts w:ascii="Arial" w:hAnsi="Arial" w:cs="Arial"/>
              </w:rPr>
              <w:t>n</w:t>
            </w:r>
            <w:r w:rsidRPr="00E15F33">
              <w:rPr>
                <w:rFonts w:ascii="Arial" w:hAnsi="Arial" w:cs="Arial"/>
              </w:rPr>
              <w:t>ce of the</w:t>
            </w:r>
          </w:p>
          <w:p w:rsidR="0032410C" w:rsidRPr="00E15F33" w:rsidRDefault="0032410C" w:rsidP="00324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system.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  <w:p w:rsidR="008D174F" w:rsidRPr="00E15F33" w:rsidRDefault="008D174F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10D5B" w:rsidRPr="00E15F33" w:rsidRDefault="0032410C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8C4D69" w:rsidP="008C4D69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 xml:space="preserve">AP06 </w:t>
            </w:r>
          </w:p>
        </w:tc>
        <w:tc>
          <w:tcPr>
            <w:tcW w:w="2126" w:type="dxa"/>
          </w:tcPr>
          <w:p w:rsidR="00710D5B" w:rsidRPr="00E15F33" w:rsidRDefault="008C4D6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Flash Flooding</w:t>
            </w:r>
          </w:p>
        </w:tc>
        <w:tc>
          <w:tcPr>
            <w:tcW w:w="5103" w:type="dxa"/>
          </w:tcPr>
          <w:p w:rsidR="008C4D69" w:rsidRPr="00E15F33" w:rsidRDefault="008C4D69" w:rsidP="008C4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In 2010 a partnership of Worcestershire County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Council, Wychavon District Council and</w:t>
            </w:r>
            <w:r w:rsidR="00B30C48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Harvington Parish Council were working on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final phase of a flood alleviation plan.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8C4D6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DAEEF3" w:themeFill="accent5" w:themeFillTint="33"/>
          </w:tcPr>
          <w:p w:rsidR="00710D5B" w:rsidRPr="00E15F33" w:rsidRDefault="008C4D6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AP07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710D5B" w:rsidRPr="00E15F33" w:rsidRDefault="008C4D6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Health &amp; Welfare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Consider a form of Parish Warden scheme.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For example, a scheme in Girton, Cambridgeshire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involves the community, with help from Age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Concern in that particular case, contributing to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lastRenderedPageBreak/>
              <w:t>provision of a Parish Warden. Residents can ask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for certain assistance from the Warden according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to their needs: i.e., someone to collect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prescriptions, someone to call on the phone or at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the door on a daily, weekly or whatever basis just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to ensure all is well, someone to be contacted in an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emergency or to help for a short time during or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following a stay in hospital. The individual details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would need careful selection. In Girton, those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requiring this assistance contribute a small fee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depending on the service required - believed to be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£1 per day for being on call for emergencies or for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collecting prescriptions etc. The warden(s), more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than one would be required if the position was to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be covered around the clock, would need to be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paid appropriately to qualifications and would need</w:t>
            </w:r>
          </w:p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to be CRB checked. Such a scheme could bring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peace of mind as well as practical help to residents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who need contact and help in minor things.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lastRenderedPageBreak/>
              <w:t>Medium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DAEEF3" w:themeFill="accent5" w:themeFillTint="33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lastRenderedPageBreak/>
              <w:t>AP07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:rsidR="00A34566" w:rsidRPr="00E15F33" w:rsidRDefault="00A34566" w:rsidP="00A345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Establish a visiting doctor or pharmacy in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partnership with the relevant health trust.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Long term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AP07</w:t>
            </w:r>
          </w:p>
        </w:tc>
        <w:tc>
          <w:tcPr>
            <w:tcW w:w="2126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A34566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Support and publicise the sports groups in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village</w:t>
            </w:r>
            <w:r w:rsidR="008D174F" w:rsidRPr="00E15F33">
              <w:rPr>
                <w:rFonts w:ascii="Arial" w:hAnsi="Arial" w:cs="Arial"/>
              </w:rPr>
              <w:t xml:space="preserve">. </w:t>
            </w:r>
          </w:p>
          <w:p w:rsidR="00710D5B" w:rsidRPr="00E15F33" w:rsidRDefault="00A34566" w:rsidP="00A34566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Support for the allotments and healthy eating</w:t>
            </w:r>
          </w:p>
        </w:tc>
        <w:tc>
          <w:tcPr>
            <w:tcW w:w="1559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Ongoing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AP08</w:t>
            </w:r>
          </w:p>
        </w:tc>
        <w:tc>
          <w:tcPr>
            <w:tcW w:w="2126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Commercial Activity</w:t>
            </w:r>
          </w:p>
        </w:tc>
        <w:tc>
          <w:tcPr>
            <w:tcW w:w="5103" w:type="dxa"/>
          </w:tcPr>
          <w:p w:rsidR="00A34566" w:rsidRPr="00E15F33" w:rsidRDefault="00A34566" w:rsidP="00A345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Investigate, with the help of the community, the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amount and type of support that could be provided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for small businesses in the parish.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Long Term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AP08</w:t>
            </w:r>
          </w:p>
        </w:tc>
        <w:tc>
          <w:tcPr>
            <w:tcW w:w="2126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Encourage a  network for the business community</w:t>
            </w:r>
          </w:p>
          <w:p w:rsidR="008D174F" w:rsidRDefault="008D174F" w:rsidP="00710D5B">
            <w:pPr>
              <w:rPr>
                <w:rFonts w:ascii="Arial" w:hAnsi="Arial" w:cs="Arial"/>
              </w:rPr>
            </w:pPr>
          </w:p>
          <w:p w:rsidR="008B0E5D" w:rsidRPr="00E15F33" w:rsidRDefault="008B0E5D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Medium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lastRenderedPageBreak/>
              <w:t>AP08</w:t>
            </w:r>
          </w:p>
        </w:tc>
        <w:tc>
          <w:tcPr>
            <w:tcW w:w="2126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10D5B" w:rsidRPr="00E15F33" w:rsidRDefault="00A34566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Investigate the possibility of creating a small business park</w:t>
            </w:r>
          </w:p>
          <w:p w:rsidR="008D174F" w:rsidRPr="00E15F33" w:rsidRDefault="008D174F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4B1E0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Long Term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4B1E0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 xml:space="preserve">AP09 </w:t>
            </w:r>
          </w:p>
        </w:tc>
        <w:tc>
          <w:tcPr>
            <w:tcW w:w="2126" w:type="dxa"/>
          </w:tcPr>
          <w:p w:rsidR="00710D5B" w:rsidRPr="00E15F33" w:rsidRDefault="004B1E0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Communications</w:t>
            </w:r>
          </w:p>
        </w:tc>
        <w:tc>
          <w:tcPr>
            <w:tcW w:w="5103" w:type="dxa"/>
          </w:tcPr>
          <w:p w:rsidR="004B1E09" w:rsidRPr="00E15F33" w:rsidRDefault="004B1E09" w:rsidP="004B1E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Develop the Website and Village News to get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people interested and involved and volunteering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because they can see results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10D5B" w:rsidRPr="00E15F33" w:rsidRDefault="004B1E0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</w:tcPr>
          <w:p w:rsidR="00710D5B" w:rsidRPr="00E15F33" w:rsidRDefault="004B1E0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AP10</w:t>
            </w:r>
          </w:p>
        </w:tc>
        <w:tc>
          <w:tcPr>
            <w:tcW w:w="2126" w:type="dxa"/>
          </w:tcPr>
          <w:p w:rsidR="00710D5B" w:rsidRPr="00E15F33" w:rsidRDefault="004B1E09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Training</w:t>
            </w:r>
          </w:p>
        </w:tc>
        <w:tc>
          <w:tcPr>
            <w:tcW w:w="5103" w:type="dxa"/>
          </w:tcPr>
          <w:p w:rsidR="008D174F" w:rsidRPr="00E15F33" w:rsidRDefault="00EC05FD" w:rsidP="00B30C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Training for potential candidates for the Parish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Council Election in 2011 to attract more to stand.</w:t>
            </w:r>
            <w:r w:rsidR="008B0E5D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Provide knowledge of the Power of Wellbeing.</w:t>
            </w:r>
          </w:p>
        </w:tc>
        <w:tc>
          <w:tcPr>
            <w:tcW w:w="1559" w:type="dxa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DAEEF3" w:themeFill="accent5" w:themeFillTint="33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AP11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Allotments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Council will investigate the provision of land available for allotments in the Parish</w:t>
            </w:r>
          </w:p>
          <w:p w:rsidR="008D174F" w:rsidRPr="00E15F33" w:rsidRDefault="008D174F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Immediate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  <w:tr w:rsidR="00E53FA1" w:rsidRPr="00E15F33" w:rsidTr="008B0E5D">
        <w:tc>
          <w:tcPr>
            <w:tcW w:w="817" w:type="dxa"/>
            <w:shd w:val="clear" w:color="auto" w:fill="DAEEF3" w:themeFill="accent5" w:themeFillTint="33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AP11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:rsidR="00EC05FD" w:rsidRPr="00E15F33" w:rsidRDefault="00EC05FD" w:rsidP="00EC05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The Council in partnership with landowners will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ensure that an adequate amount of land is</w:t>
            </w:r>
            <w:r w:rsidR="008D174F" w:rsidRPr="00E15F33">
              <w:rPr>
                <w:rFonts w:ascii="Arial" w:hAnsi="Arial" w:cs="Arial"/>
              </w:rPr>
              <w:t xml:space="preserve"> </w:t>
            </w:r>
            <w:r w:rsidRPr="00E15F33">
              <w:rPr>
                <w:rFonts w:ascii="Arial" w:hAnsi="Arial" w:cs="Arial"/>
              </w:rPr>
              <w:t>available for use as allotments.</w:t>
            </w:r>
          </w:p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710D5B" w:rsidRPr="00E15F33" w:rsidRDefault="00EC05FD" w:rsidP="00710D5B">
            <w:pPr>
              <w:rPr>
                <w:rFonts w:ascii="Arial" w:hAnsi="Arial" w:cs="Arial"/>
              </w:rPr>
            </w:pPr>
            <w:r w:rsidRPr="00E15F33">
              <w:rPr>
                <w:rFonts w:ascii="Arial" w:hAnsi="Arial" w:cs="Arial"/>
              </w:rPr>
              <w:t>Ongoing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shd w:val="clear" w:color="auto" w:fill="DAEEF3" w:themeFill="accent5" w:themeFillTint="33"/>
          </w:tcPr>
          <w:p w:rsidR="00710D5B" w:rsidRPr="00E15F33" w:rsidRDefault="00710D5B" w:rsidP="00710D5B">
            <w:pPr>
              <w:rPr>
                <w:rFonts w:ascii="Arial" w:hAnsi="Arial" w:cs="Arial"/>
              </w:rPr>
            </w:pPr>
          </w:p>
        </w:tc>
      </w:tr>
    </w:tbl>
    <w:p w:rsidR="00710D5B" w:rsidRPr="00E15F33" w:rsidRDefault="00710D5B" w:rsidP="00710D5B">
      <w:pPr>
        <w:rPr>
          <w:rFonts w:ascii="Arial" w:hAnsi="Arial" w:cs="Arial"/>
        </w:rPr>
      </w:pPr>
    </w:p>
    <w:p w:rsidR="0005144C" w:rsidRPr="00E15F33" w:rsidRDefault="0005144C" w:rsidP="00710D5B">
      <w:pPr>
        <w:rPr>
          <w:rFonts w:ascii="Arial" w:hAnsi="Arial" w:cs="Arial"/>
        </w:rPr>
      </w:pPr>
    </w:p>
    <w:p w:rsidR="0005144C" w:rsidRPr="0005144C" w:rsidRDefault="0005144C" w:rsidP="00710D5B">
      <w:pPr>
        <w:rPr>
          <w:rFonts w:ascii="Arial" w:hAnsi="Arial" w:cs="Arial"/>
          <w:b/>
          <w:sz w:val="24"/>
          <w:szCs w:val="24"/>
        </w:rPr>
      </w:pPr>
      <w:r w:rsidRPr="0005144C">
        <w:rPr>
          <w:rFonts w:ascii="Arial" w:hAnsi="Arial" w:cs="Arial"/>
          <w:b/>
          <w:sz w:val="24"/>
          <w:szCs w:val="24"/>
        </w:rPr>
        <w:t>Neighbourhood Plan – Housing sub-group</w:t>
      </w:r>
    </w:p>
    <w:p w:rsidR="0005144C" w:rsidRPr="0005144C" w:rsidRDefault="0005144C" w:rsidP="00710D5B">
      <w:pPr>
        <w:rPr>
          <w:rFonts w:ascii="Arial" w:hAnsi="Arial" w:cs="Arial"/>
          <w:b/>
          <w:sz w:val="24"/>
          <w:szCs w:val="24"/>
        </w:rPr>
      </w:pPr>
      <w:r w:rsidRPr="0005144C">
        <w:rPr>
          <w:rFonts w:ascii="Arial" w:hAnsi="Arial" w:cs="Arial"/>
          <w:b/>
          <w:sz w:val="24"/>
          <w:szCs w:val="24"/>
        </w:rPr>
        <w:t>May 2015</w:t>
      </w:r>
    </w:p>
    <w:sectPr w:rsidR="0005144C" w:rsidRPr="0005144C" w:rsidSect="00710D5B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62D" w:rsidRDefault="002B462D" w:rsidP="0005144C">
      <w:pPr>
        <w:spacing w:after="0" w:line="240" w:lineRule="auto"/>
      </w:pPr>
      <w:r>
        <w:separator/>
      </w:r>
    </w:p>
  </w:endnote>
  <w:endnote w:type="continuationSeparator" w:id="1">
    <w:p w:rsidR="002B462D" w:rsidRDefault="002B462D" w:rsidP="0005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4C" w:rsidRDefault="0005144C">
    <w:pPr>
      <w:pStyle w:val="Footer"/>
    </w:pPr>
    <w:r>
      <w:t>Neighbourhood Plan/Housing/Initial Action doc v1.0 06.05.15</w:t>
    </w:r>
  </w:p>
  <w:p w:rsidR="0005144C" w:rsidRDefault="000514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62D" w:rsidRDefault="002B462D" w:rsidP="0005144C">
      <w:pPr>
        <w:spacing w:after="0" w:line="240" w:lineRule="auto"/>
      </w:pPr>
      <w:r>
        <w:separator/>
      </w:r>
    </w:p>
  </w:footnote>
  <w:footnote w:type="continuationSeparator" w:id="1">
    <w:p w:rsidR="002B462D" w:rsidRDefault="002B462D" w:rsidP="00051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34560"/>
    <w:multiLevelType w:val="hybridMultilevel"/>
    <w:tmpl w:val="5CF809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D5B"/>
    <w:rsid w:val="0005144C"/>
    <w:rsid w:val="00096F56"/>
    <w:rsid w:val="002B462D"/>
    <w:rsid w:val="0032410C"/>
    <w:rsid w:val="004B1E09"/>
    <w:rsid w:val="00502AA7"/>
    <w:rsid w:val="00506A52"/>
    <w:rsid w:val="00583029"/>
    <w:rsid w:val="005C6DBE"/>
    <w:rsid w:val="00710D5B"/>
    <w:rsid w:val="008B0E5D"/>
    <w:rsid w:val="008C4D69"/>
    <w:rsid w:val="008D174F"/>
    <w:rsid w:val="00A34566"/>
    <w:rsid w:val="00A65C69"/>
    <w:rsid w:val="00B253B4"/>
    <w:rsid w:val="00B30C48"/>
    <w:rsid w:val="00B37145"/>
    <w:rsid w:val="00C432CE"/>
    <w:rsid w:val="00C67999"/>
    <w:rsid w:val="00E15F33"/>
    <w:rsid w:val="00E53FA1"/>
    <w:rsid w:val="00E60FB4"/>
    <w:rsid w:val="00EC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44C"/>
  </w:style>
  <w:style w:type="paragraph" w:styleId="Footer">
    <w:name w:val="footer"/>
    <w:basedOn w:val="Normal"/>
    <w:link w:val="FooterChar"/>
    <w:uiPriority w:val="99"/>
    <w:unhideWhenUsed/>
    <w:rsid w:val="0005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4C"/>
  </w:style>
  <w:style w:type="paragraph" w:styleId="BalloonText">
    <w:name w:val="Balloon Text"/>
    <w:basedOn w:val="Normal"/>
    <w:link w:val="BalloonTextChar"/>
    <w:uiPriority w:val="99"/>
    <w:semiHidden/>
    <w:unhideWhenUsed/>
    <w:rsid w:val="0005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rush</cp:lastModifiedBy>
  <cp:revision>9</cp:revision>
  <cp:lastPrinted>2015-05-07T10:11:00Z</cp:lastPrinted>
  <dcterms:created xsi:type="dcterms:W3CDTF">2015-05-07T08:29:00Z</dcterms:created>
  <dcterms:modified xsi:type="dcterms:W3CDTF">2015-05-11T08:40:00Z</dcterms:modified>
</cp:coreProperties>
</file>